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92B0B" w:rsidRDefault="009A04DE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22515B">
        <w:rPr>
          <w:rFonts w:asciiTheme="minorHAnsi" w:hAnsiTheme="minorHAnsi" w:cstheme="minorHAnsi"/>
          <w:sz w:val="22"/>
          <w:szCs w:val="22"/>
        </w:rPr>
        <w:t>356482/2012.</w:t>
      </w:r>
    </w:p>
    <w:p w:rsidR="007D5067" w:rsidRPr="00092B0B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092B0B">
        <w:rPr>
          <w:rFonts w:asciiTheme="minorHAnsi" w:hAnsiTheme="minorHAnsi" w:cstheme="minorHAnsi"/>
          <w:sz w:val="22"/>
          <w:szCs w:val="22"/>
        </w:rPr>
        <w:t>–</w:t>
      </w:r>
      <w:r w:rsidR="00430CD4">
        <w:rPr>
          <w:rFonts w:asciiTheme="minorHAnsi" w:hAnsiTheme="minorHAnsi" w:cstheme="minorHAnsi"/>
          <w:sz w:val="22"/>
          <w:szCs w:val="22"/>
        </w:rPr>
        <w:t xml:space="preserve"> </w:t>
      </w:r>
      <w:r w:rsidR="0022515B">
        <w:rPr>
          <w:rFonts w:asciiTheme="minorHAnsi" w:hAnsiTheme="minorHAnsi" w:cstheme="minorHAnsi"/>
          <w:sz w:val="22"/>
          <w:szCs w:val="22"/>
        </w:rPr>
        <w:t>José Roberto de Mello Filho</w:t>
      </w:r>
    </w:p>
    <w:p w:rsidR="00DB77A0" w:rsidRPr="00092B0B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092B0B">
        <w:rPr>
          <w:rFonts w:asciiTheme="minorHAnsi" w:hAnsiTheme="minorHAnsi" w:cstheme="minorHAnsi"/>
          <w:sz w:val="22"/>
          <w:szCs w:val="22"/>
        </w:rPr>
        <w:t>ção n.</w:t>
      </w:r>
      <w:r w:rsidR="00430CD4">
        <w:rPr>
          <w:rFonts w:asciiTheme="minorHAnsi" w:hAnsiTheme="minorHAnsi" w:cstheme="minorHAnsi"/>
          <w:sz w:val="22"/>
          <w:szCs w:val="22"/>
        </w:rPr>
        <w:t xml:space="preserve"> </w:t>
      </w:r>
      <w:r w:rsidR="0022515B">
        <w:rPr>
          <w:rFonts w:asciiTheme="minorHAnsi" w:hAnsiTheme="minorHAnsi" w:cstheme="minorHAnsi"/>
          <w:sz w:val="22"/>
          <w:szCs w:val="22"/>
        </w:rPr>
        <w:t>135110, de 02/07/2012.</w:t>
      </w:r>
    </w:p>
    <w:p w:rsidR="001C5AC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Relator</w:t>
      </w:r>
      <w:r w:rsidR="006C2DF3">
        <w:rPr>
          <w:rFonts w:asciiTheme="minorHAnsi" w:hAnsiTheme="minorHAnsi" w:cstheme="minorHAnsi"/>
          <w:sz w:val="22"/>
          <w:szCs w:val="22"/>
        </w:rPr>
        <w:t>a –</w:t>
      </w:r>
      <w:r w:rsidR="009A04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515B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2251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515B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22515B">
        <w:rPr>
          <w:rFonts w:asciiTheme="minorHAnsi" w:hAnsiTheme="minorHAnsi" w:cstheme="minorHAnsi"/>
          <w:sz w:val="22"/>
          <w:szCs w:val="22"/>
        </w:rPr>
        <w:t xml:space="preserve"> de Magalhães – SES. </w:t>
      </w:r>
    </w:p>
    <w:p w:rsidR="00F245EA" w:rsidRPr="00092B0B" w:rsidRDefault="006C2DF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9A04DE">
        <w:rPr>
          <w:rFonts w:ascii="Calibri" w:hAnsi="Calibri" w:cs="Calibri"/>
          <w:sz w:val="22"/>
          <w:szCs w:val="22"/>
        </w:rPr>
        <w:t xml:space="preserve"> </w:t>
      </w:r>
      <w:r w:rsidR="000C51B7">
        <w:rPr>
          <w:rFonts w:ascii="Calibri" w:hAnsi="Calibri" w:cs="Calibri"/>
          <w:sz w:val="22"/>
          <w:szCs w:val="22"/>
        </w:rPr>
        <w:t>Dirceu Fidélis de Souza Júnior – OAB/MT 8.564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2</w:t>
      </w:r>
      <w:r w:rsidR="00427633" w:rsidRPr="00092B0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92B0B">
        <w:rPr>
          <w:rFonts w:asciiTheme="minorHAnsi" w:hAnsiTheme="minorHAnsi" w:cstheme="minorHAnsi"/>
          <w:sz w:val="22"/>
          <w:szCs w:val="22"/>
        </w:rPr>
        <w:t>.</w:t>
      </w:r>
    </w:p>
    <w:p w:rsidR="00EE3A85" w:rsidRDefault="00EE3A85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9A04DE">
        <w:rPr>
          <w:rFonts w:ascii="Calibri" w:hAnsi="Calibri" w:cs="Calibri"/>
          <w:b/>
          <w:color w:val="000000"/>
          <w:sz w:val="22"/>
          <w:szCs w:val="22"/>
        </w:rPr>
        <w:t>245</w:t>
      </w:r>
      <w:r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DB77A0" w:rsidRP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414A3" w:rsidRDefault="00180402" w:rsidP="00092B0B">
      <w:pPr>
        <w:jc w:val="both"/>
        <w:rPr>
          <w:rFonts w:ascii="Calibri" w:hAnsi="Calibri" w:cs="Calibri"/>
        </w:rPr>
      </w:pPr>
      <w:r w:rsidRPr="00430F12">
        <w:rPr>
          <w:rFonts w:ascii="Calibri" w:hAnsi="Calibri" w:cs="Calibri"/>
        </w:rPr>
        <w:t xml:space="preserve">Auto de Infração n° 135110, de 02/07/2012. Por exercer atividades agrícolas ou pecuária sem licença ambiental (LAU) expedida pelo órgão competente. </w:t>
      </w:r>
      <w:r w:rsidRPr="005C72B3">
        <w:rPr>
          <w:rFonts w:ascii="Calibri" w:hAnsi="Calibri" w:cs="Calibri"/>
        </w:rPr>
        <w:t>Decisão Administrativa n°</w:t>
      </w:r>
      <w:r>
        <w:rPr>
          <w:rFonts w:ascii="Calibri" w:hAnsi="Calibri" w:cs="Calibri"/>
        </w:rPr>
        <w:t xml:space="preserve"> 1565</w:t>
      </w:r>
      <w:r w:rsidRPr="005C72B3">
        <w:rPr>
          <w:rFonts w:ascii="Calibri" w:hAnsi="Calibri" w:cs="Calibri"/>
        </w:rPr>
        <w:t>/SPA/SEMA/2018, de 08/06/2018, pela homologaç</w:t>
      </w:r>
      <w:r>
        <w:rPr>
          <w:rFonts w:ascii="Calibri" w:hAnsi="Calibri" w:cs="Calibri"/>
        </w:rPr>
        <w:t>ão do Auto de Infração n° 135110, de 02/07/2012</w:t>
      </w:r>
      <w:r w:rsidRPr="005C72B3">
        <w:rPr>
          <w:rFonts w:ascii="Calibri" w:hAnsi="Calibri" w:cs="Calibri"/>
        </w:rPr>
        <w:t>, arbitrando a mult</w:t>
      </w:r>
      <w:r>
        <w:rPr>
          <w:rFonts w:ascii="Calibri" w:hAnsi="Calibri" w:cs="Calibri"/>
        </w:rPr>
        <w:t>a no valor de R$ 25</w:t>
      </w:r>
      <w:r w:rsidRPr="005C72B3">
        <w:rPr>
          <w:rFonts w:ascii="Calibri" w:hAnsi="Calibri" w:cs="Calibri"/>
        </w:rPr>
        <w:t>.0</w:t>
      </w:r>
      <w:r>
        <w:rPr>
          <w:rFonts w:ascii="Calibri" w:hAnsi="Calibri" w:cs="Calibri"/>
        </w:rPr>
        <w:t>00,00 (vinte e cinco mil</w:t>
      </w:r>
      <w:r w:rsidRPr="005C72B3">
        <w:rPr>
          <w:rFonts w:ascii="Calibri" w:hAnsi="Calibri" w:cs="Calibri"/>
        </w:rPr>
        <w:t xml:space="preserve"> reais), com fulcro no Art. 66 do Decreto Federal n° 6.514/2008.</w:t>
      </w:r>
      <w:r>
        <w:rPr>
          <w:rFonts w:ascii="Calibri" w:hAnsi="Calibri" w:cs="Calibri"/>
        </w:rPr>
        <w:t xml:space="preserve"> </w:t>
      </w:r>
      <w:r w:rsidRPr="005C72B3">
        <w:rPr>
          <w:rFonts w:ascii="Calibri" w:hAnsi="Calibri" w:cs="Calibri"/>
        </w:rPr>
        <w:t>Reque</w:t>
      </w:r>
      <w:r>
        <w:rPr>
          <w:rFonts w:ascii="Calibri" w:hAnsi="Calibri" w:cs="Calibri"/>
        </w:rPr>
        <w:t>r</w:t>
      </w:r>
      <w:r w:rsidRPr="005C72B3">
        <w:rPr>
          <w:rFonts w:ascii="Calibri" w:hAnsi="Calibri" w:cs="Calibri"/>
        </w:rPr>
        <w:t xml:space="preserve"> o recorrente que seja</w:t>
      </w:r>
      <w:r>
        <w:rPr>
          <w:rFonts w:ascii="Calibri" w:hAnsi="Calibri" w:cs="Calibri"/>
        </w:rPr>
        <w:t xml:space="preserve"> conhecimento do presente recurso e posteriormente seja dado provimento aos seguintes pedidos, que se colocam de forma sucessiva. Preliminarmente, seja acolhida a incidência da prescrição quinquenal, para declarar extinta a pretensão punitiva do órgão fiscalizador e por consequência extinguir o procedimento de autuação que pesa sobre o recorrente; não acolhida a prescrição arguida, seja declarado NULO o auto infração n° 135110, pelas razões já apresentadas no item 2.2. </w:t>
      </w:r>
      <w:proofErr w:type="gramStart"/>
      <w:r>
        <w:rPr>
          <w:rFonts w:ascii="Calibri" w:hAnsi="Calibri" w:cs="Calibri"/>
        </w:rPr>
        <w:t>retro</w:t>
      </w:r>
      <w:proofErr w:type="gramEnd"/>
      <w:r>
        <w:rPr>
          <w:rFonts w:ascii="Calibri" w:hAnsi="Calibri" w:cs="Calibri"/>
        </w:rPr>
        <w:t>. E por fim, na hipotética improcedência das preliminares, seja reformada a decisão administrativa 1565/SPA/SEMA/2018, para cancelar o auto de infração n° 135110, visto os fundamentos arguidos.</w:t>
      </w:r>
      <w:r w:rsidR="00C15578">
        <w:rPr>
          <w:rFonts w:ascii="Calibri" w:hAnsi="Calibri" w:cs="Calibri"/>
        </w:rPr>
        <w:t xml:space="preserve"> Recurso provido. </w:t>
      </w:r>
    </w:p>
    <w:p w:rsidR="00180402" w:rsidRPr="00DB77A0" w:rsidRDefault="00180402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92B0B" w:rsidRPr="00C81094" w:rsidRDefault="0064387A" w:rsidP="00C81094">
      <w:pPr>
        <w:spacing w:line="276" w:lineRule="auto"/>
        <w:jc w:val="both"/>
        <w:rPr>
          <w:rFonts w:ascii="Calibri" w:hAnsi="Calibri" w:cs="Calibri"/>
        </w:rPr>
      </w:pPr>
      <w:r w:rsidRPr="00F245EA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F245EA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F245EA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F245EA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F245EA">
        <w:rPr>
          <w:rFonts w:ascii="Calibri" w:hAnsi="Calibri" w:cs="Calibri"/>
          <w:sz w:val="22"/>
          <w:szCs w:val="22"/>
        </w:rPr>
        <w:t xml:space="preserve"> </w:t>
      </w:r>
      <w:r w:rsidR="00C15578" w:rsidRPr="00364C76">
        <w:rPr>
          <w:rFonts w:ascii="Calibri" w:hAnsi="Calibri" w:cs="Calibri"/>
        </w:rPr>
        <w:t>por unanimidade, dar provime</w:t>
      </w:r>
      <w:r w:rsidR="00C15578">
        <w:rPr>
          <w:rFonts w:ascii="Calibri" w:hAnsi="Calibri" w:cs="Calibri"/>
        </w:rPr>
        <w:t xml:space="preserve">nto do recurso interposto pelo </w:t>
      </w:r>
      <w:r w:rsidR="00C15578" w:rsidRPr="00364C76">
        <w:rPr>
          <w:rFonts w:ascii="Calibri" w:hAnsi="Calibri" w:cs="Calibri"/>
        </w:rPr>
        <w:t xml:space="preserve"> </w:t>
      </w:r>
      <w:r w:rsidR="00C15578">
        <w:rPr>
          <w:rFonts w:ascii="Calibri" w:hAnsi="Calibri" w:cs="Calibri"/>
        </w:rPr>
        <w:t xml:space="preserve">recorrente, acolhendo o voto da </w:t>
      </w:r>
      <w:r w:rsidR="00C15578" w:rsidRPr="00364C76">
        <w:rPr>
          <w:rFonts w:ascii="Calibri" w:hAnsi="Calibri" w:cs="Calibri"/>
        </w:rPr>
        <w:t>relator</w:t>
      </w:r>
      <w:r w:rsidR="00C15578">
        <w:rPr>
          <w:rFonts w:ascii="Calibri" w:hAnsi="Calibri" w:cs="Calibri"/>
        </w:rPr>
        <w:t>a, no sentido de dar</w:t>
      </w:r>
      <w:r w:rsidR="00C15578" w:rsidRPr="00430F12">
        <w:rPr>
          <w:rFonts w:ascii="Calibri" w:hAnsi="Calibri" w:cs="Calibri"/>
        </w:rPr>
        <w:t xml:space="preserve"> provimento do recurso, diante da incidência da prescrição na </w:t>
      </w:r>
      <w:r w:rsidR="00C15578">
        <w:rPr>
          <w:rFonts w:ascii="Calibri" w:hAnsi="Calibri" w:cs="Calibri"/>
        </w:rPr>
        <w:t>forma quinquenal com fulcro no art.</w:t>
      </w:r>
      <w:r w:rsidR="00B86A08">
        <w:rPr>
          <w:rFonts w:ascii="Calibri" w:hAnsi="Calibri" w:cs="Calibri"/>
        </w:rPr>
        <w:t xml:space="preserve"> </w:t>
      </w:r>
      <w:r w:rsidR="00C15578">
        <w:rPr>
          <w:rFonts w:ascii="Calibri" w:hAnsi="Calibri" w:cs="Calibri"/>
        </w:rPr>
        <w:t>21, que p</w:t>
      </w:r>
      <w:r w:rsidR="00C15578" w:rsidRPr="00430F12">
        <w:rPr>
          <w:rFonts w:ascii="Calibri" w:hAnsi="Calibri" w:cs="Calibri"/>
        </w:rPr>
        <w:t>rescreve em</w:t>
      </w:r>
      <w:r w:rsidR="00C15578">
        <w:rPr>
          <w:rFonts w:ascii="Calibri" w:hAnsi="Calibri" w:cs="Calibri"/>
        </w:rPr>
        <w:t xml:space="preserve"> 5</w:t>
      </w:r>
      <w:r w:rsidR="00C15578" w:rsidRPr="00430F12">
        <w:rPr>
          <w:rFonts w:ascii="Calibri" w:hAnsi="Calibri" w:cs="Calibri"/>
        </w:rPr>
        <w:t xml:space="preserve"> </w:t>
      </w:r>
      <w:r w:rsidR="00C15578">
        <w:rPr>
          <w:rFonts w:ascii="Calibri" w:hAnsi="Calibri" w:cs="Calibri"/>
        </w:rPr>
        <w:t>(</w:t>
      </w:r>
      <w:r w:rsidR="00C15578" w:rsidRPr="00430F12">
        <w:rPr>
          <w:rFonts w:ascii="Calibri" w:hAnsi="Calibri" w:cs="Calibri"/>
        </w:rPr>
        <w:t>cinco</w:t>
      </w:r>
      <w:r w:rsidR="00C15578">
        <w:rPr>
          <w:rFonts w:ascii="Calibri" w:hAnsi="Calibri" w:cs="Calibri"/>
        </w:rPr>
        <w:t>)</w:t>
      </w:r>
      <w:r w:rsidR="00C15578" w:rsidRPr="00430F12">
        <w:rPr>
          <w:rFonts w:ascii="Calibri" w:hAnsi="Calibri" w:cs="Calibri"/>
        </w:rPr>
        <w:t xml:space="preserve"> anos a ação da administração objetivando apurar a prática de infrações contra o meio ambiente, contada da data da prática do ato, ou, no caso de infração permanente ou continuada, do dia em que está</w:t>
      </w:r>
      <w:r w:rsidR="00C15578">
        <w:rPr>
          <w:rFonts w:ascii="Calibri" w:hAnsi="Calibri" w:cs="Calibri"/>
        </w:rPr>
        <w:t xml:space="preserve"> tiver cessado.</w:t>
      </w:r>
      <w:r w:rsidR="00C15578" w:rsidRPr="00430F12">
        <w:rPr>
          <w:rFonts w:ascii="Calibri" w:hAnsi="Calibri" w:cs="Calibri"/>
        </w:rPr>
        <w:t xml:space="preserve"> Considera-se iniciada a ação de apuração de infração ambiental pela administração com a lavratura do auto de infração </w:t>
      </w:r>
      <w:r w:rsidR="00C15578">
        <w:rPr>
          <w:rFonts w:ascii="Calibri" w:hAnsi="Calibri" w:cs="Calibri"/>
        </w:rPr>
        <w:t>(Decreto Federal 6.514/08), bem como o a</w:t>
      </w:r>
      <w:r w:rsidR="00C15578" w:rsidRPr="00430F12">
        <w:rPr>
          <w:rFonts w:ascii="Calibri" w:hAnsi="Calibri" w:cs="Calibri"/>
        </w:rPr>
        <w:t>rt.</w:t>
      </w:r>
      <w:r w:rsidR="00B86A08">
        <w:rPr>
          <w:rFonts w:ascii="Calibri" w:hAnsi="Calibri" w:cs="Calibri"/>
        </w:rPr>
        <w:t xml:space="preserve"> </w:t>
      </w:r>
      <w:r w:rsidR="00C15578" w:rsidRPr="00430F12">
        <w:rPr>
          <w:rFonts w:ascii="Calibri" w:hAnsi="Calibri" w:cs="Calibri"/>
        </w:rPr>
        <w:t>19,</w:t>
      </w:r>
      <w:r w:rsidR="00C15578">
        <w:rPr>
          <w:rFonts w:ascii="Calibri" w:hAnsi="Calibri" w:cs="Calibri"/>
        </w:rPr>
        <w:t xml:space="preserve"> </w:t>
      </w:r>
      <w:r w:rsidR="00C15578" w:rsidRPr="00430F12">
        <w:rPr>
          <w:rFonts w:ascii="Calibri" w:hAnsi="Calibri" w:cs="Calibri"/>
        </w:rPr>
        <w:t>§ 1°, Decreto Es</w:t>
      </w:r>
      <w:r w:rsidR="00B86A08">
        <w:rPr>
          <w:rFonts w:ascii="Calibri" w:hAnsi="Calibri" w:cs="Calibri"/>
        </w:rPr>
        <w:t>tadual n° 1.986/2013, decidindo</w:t>
      </w:r>
      <w:r w:rsidR="00C15578" w:rsidRPr="00430F12">
        <w:rPr>
          <w:rFonts w:ascii="Calibri" w:hAnsi="Calibri" w:cs="Calibri"/>
        </w:rPr>
        <w:t xml:space="preserve"> pelo cancelamento do auto de infração n° 135110 de 02/07/2012 e extinção do presente feito, com as baixas de estilo.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FE036C">
        <w:rPr>
          <w:rFonts w:ascii="Calibri" w:hAnsi="Calibri" w:cs="Calibri"/>
          <w:sz w:val="22"/>
          <w:szCs w:val="22"/>
        </w:rPr>
        <w:t>epresentante do</w:t>
      </w:r>
      <w:bookmarkStart w:id="0" w:name="_GoBack"/>
      <w:bookmarkEnd w:id="0"/>
      <w:r w:rsidR="00C3525E" w:rsidRPr="00C81094">
        <w:rPr>
          <w:rFonts w:ascii="Calibri" w:hAnsi="Calibri" w:cs="Calibri"/>
          <w:sz w:val="22"/>
          <w:szCs w:val="22"/>
        </w:rPr>
        <w:t xml:space="preserve">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86A08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036C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DA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5785-4660-421F-B98A-21257D70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2021-09-25T00:20:00Z</dcterms:created>
  <dcterms:modified xsi:type="dcterms:W3CDTF">2021-09-27T13:47:00Z</dcterms:modified>
</cp:coreProperties>
</file>